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0B" w:rsidRDefault="00C5330B" w:rsidP="00C5330B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Understanding </w:t>
      </w:r>
      <w:r w:rsidRPr="008D5A6C">
        <w:rPr>
          <w:rFonts w:cstheme="minorHAnsi"/>
          <w:b/>
          <w:sz w:val="40"/>
          <w:szCs w:val="40"/>
        </w:rPr>
        <w:t>Common Core State Standards</w:t>
      </w:r>
      <w:r>
        <w:rPr>
          <w:rFonts w:cstheme="minorHAnsi"/>
          <w:b/>
          <w:sz w:val="40"/>
          <w:szCs w:val="40"/>
        </w:rPr>
        <w:t xml:space="preserve"> for Mathematics</w:t>
      </w:r>
    </w:p>
    <w:p w:rsidR="00C5330B" w:rsidRDefault="00C5330B" w:rsidP="00C5330B">
      <w:pPr>
        <w:jc w:val="center"/>
        <w:rPr>
          <w:rFonts w:cstheme="minorHAnsi"/>
          <w:b/>
          <w:i/>
          <w:sz w:val="32"/>
          <w:szCs w:val="32"/>
          <w:u w:val="single"/>
        </w:rPr>
      </w:pPr>
      <w:r w:rsidRPr="00067895">
        <w:rPr>
          <w:rFonts w:cstheme="minorHAnsi"/>
          <w:b/>
          <w:i/>
          <w:sz w:val="32"/>
          <w:szCs w:val="32"/>
          <w:u w:val="single"/>
        </w:rPr>
        <w:t>Standards of Mathematical Practice</w:t>
      </w:r>
    </w:p>
    <w:p w:rsidR="00C5330B" w:rsidRDefault="00C5330B" w:rsidP="00C5330B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i/>
        </w:rPr>
      </w:pPr>
      <w:r>
        <w:rPr>
          <w:rFonts w:ascii="Gotham-Book" w:hAnsi="Gotham-Book" w:cs="Gotham-Book"/>
          <w:i/>
        </w:rPr>
        <w:t>“</w:t>
      </w:r>
      <w:r w:rsidRPr="00067895">
        <w:rPr>
          <w:rFonts w:ascii="Gotham-Book" w:hAnsi="Gotham-Book" w:cs="Gotham-Book"/>
          <w:i/>
        </w:rPr>
        <w:t xml:space="preserve">The Standards for Mathematical Practice describe varieties of expertise that mathematics educators at all levels should seek to develop in their students. These practices rest on important </w:t>
      </w:r>
      <w:r>
        <w:rPr>
          <w:rFonts w:ascii="Gotham-Book" w:hAnsi="Gotham-Book" w:cs="Gotham-Book"/>
          <w:i/>
        </w:rPr>
        <w:t>‘</w:t>
      </w:r>
      <w:r w:rsidRPr="00067895">
        <w:rPr>
          <w:rFonts w:ascii="Gotham-Book" w:hAnsi="Gotham-Book" w:cs="Gotham-Book"/>
          <w:i/>
        </w:rPr>
        <w:t>processes and proficiencies” with longstanding imp</w:t>
      </w:r>
      <w:r>
        <w:rPr>
          <w:rFonts w:ascii="Gotham-Book" w:hAnsi="Gotham-Book" w:cs="Gotham-Book"/>
          <w:i/>
        </w:rPr>
        <w:t>ortance in mathematics education’” (CCSS, p.6)</w:t>
      </w:r>
      <w:r w:rsidRPr="00067895">
        <w:rPr>
          <w:rFonts w:ascii="Gotham-Book" w:hAnsi="Gotham-Book" w:cs="Gotham-Book"/>
          <w:i/>
        </w:rPr>
        <w:t>.</w:t>
      </w:r>
    </w:p>
    <w:p w:rsidR="00C5330B" w:rsidRPr="00067895" w:rsidRDefault="00C5330B" w:rsidP="00C5330B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i/>
        </w:rPr>
      </w:pP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Make sense of problems and persevere in solving them.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Reason abstractly and quantitatively.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Construct viable arguments and critique the reasoning of others.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Model with mathematics.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Use appropriate tools strategically.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Attend to precision.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Look for and make use of structure.</w:t>
      </w:r>
    </w:p>
    <w:p w:rsidR="00C5330B" w:rsidRPr="00067895" w:rsidRDefault="00C5330B" w:rsidP="00C5330B">
      <w:pPr>
        <w:numPr>
          <w:ilvl w:val="0"/>
          <w:numId w:val="2"/>
        </w:numPr>
        <w:spacing w:after="0" w:line="240" w:lineRule="auto"/>
        <w:rPr>
          <w:rFonts w:cstheme="minorHAnsi"/>
          <w:sz w:val="28"/>
          <w:szCs w:val="28"/>
        </w:rPr>
      </w:pPr>
      <w:r w:rsidRPr="00067895">
        <w:rPr>
          <w:rFonts w:cstheme="minorHAnsi"/>
          <w:bCs/>
          <w:sz w:val="28"/>
          <w:szCs w:val="28"/>
        </w:rPr>
        <w:t>Look for and express regularity in repeated reasoning.</w:t>
      </w:r>
    </w:p>
    <w:p w:rsidR="00C5330B" w:rsidRPr="005E4BCD" w:rsidRDefault="00C5330B" w:rsidP="00C5330B">
      <w:pPr>
        <w:pStyle w:val="NormalWeb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E7BCF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>
            <wp:extent cx="5486400" cy="2362200"/>
            <wp:effectExtent l="19050" t="0" r="19050" b="0"/>
            <wp:docPr id="17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5330B" w:rsidRPr="005E4BCD" w:rsidRDefault="00C5330B" w:rsidP="00C5330B">
      <w:pPr>
        <w:pStyle w:val="NormalWeb"/>
        <w:rPr>
          <w:rFonts w:asciiTheme="minorHAnsi" w:hAnsiTheme="minorHAnsi" w:cstheme="minorHAnsi"/>
        </w:rPr>
      </w:pPr>
      <w:r w:rsidRPr="005E4BCD">
        <w:rPr>
          <w:rFonts w:asciiTheme="minorHAnsi" w:hAnsiTheme="minorHAnsi" w:cstheme="minorHAnsi"/>
          <w:b/>
          <w:color w:val="C00000"/>
          <w:u w:val="single"/>
        </w:rPr>
        <w:t>Standards</w:t>
      </w:r>
      <w:r w:rsidRPr="005E4BCD">
        <w:rPr>
          <w:rFonts w:asciiTheme="minorHAnsi" w:hAnsiTheme="minorHAnsi" w:cstheme="minorHAnsi"/>
        </w:rPr>
        <w:t xml:space="preserve"> define what students should </w:t>
      </w:r>
      <w:r w:rsidRPr="005E4BCD">
        <w:rPr>
          <w:rFonts w:asciiTheme="minorHAnsi" w:hAnsiTheme="minorHAnsi" w:cstheme="minorHAnsi"/>
          <w:b/>
        </w:rPr>
        <w:t>understand</w:t>
      </w:r>
      <w:r w:rsidRPr="005E4BCD">
        <w:rPr>
          <w:rFonts w:asciiTheme="minorHAnsi" w:hAnsiTheme="minorHAnsi" w:cstheme="minorHAnsi"/>
        </w:rPr>
        <w:t xml:space="preserve"> and </w:t>
      </w:r>
      <w:r w:rsidRPr="005E4BCD">
        <w:rPr>
          <w:rFonts w:asciiTheme="minorHAnsi" w:hAnsiTheme="minorHAnsi" w:cstheme="minorHAnsi"/>
          <w:b/>
        </w:rPr>
        <w:t>be able to do</w:t>
      </w:r>
      <w:r w:rsidRPr="005E4BCD">
        <w:rPr>
          <w:rFonts w:asciiTheme="minorHAnsi" w:hAnsiTheme="minorHAnsi" w:cstheme="minorHAnsi"/>
        </w:rPr>
        <w:t>.</w:t>
      </w:r>
    </w:p>
    <w:p w:rsidR="00C5330B" w:rsidRPr="005E4BCD" w:rsidRDefault="00C5330B" w:rsidP="00C5330B">
      <w:pPr>
        <w:pStyle w:val="NormalWeb"/>
        <w:rPr>
          <w:rFonts w:asciiTheme="minorHAnsi" w:hAnsiTheme="minorHAnsi" w:cstheme="minorHAnsi"/>
        </w:rPr>
      </w:pPr>
      <w:r w:rsidRPr="005E4BCD">
        <w:rPr>
          <w:rFonts w:asciiTheme="minorHAnsi" w:hAnsiTheme="minorHAnsi" w:cstheme="minorHAnsi"/>
          <w:b/>
          <w:color w:val="C00000"/>
          <w:u w:val="single"/>
        </w:rPr>
        <w:t>Clusters</w:t>
      </w:r>
      <w:r w:rsidRPr="005E4BCD">
        <w:rPr>
          <w:rFonts w:asciiTheme="minorHAnsi" w:hAnsiTheme="minorHAnsi" w:cstheme="minorHAnsi"/>
        </w:rPr>
        <w:t xml:space="preserve"> summarize groups of related standards. </w:t>
      </w:r>
      <w:r>
        <w:rPr>
          <w:rFonts w:asciiTheme="minorHAnsi" w:hAnsiTheme="minorHAnsi" w:cstheme="minorHAnsi"/>
        </w:rPr>
        <w:t>(</w:t>
      </w:r>
      <w:r w:rsidRPr="005E4BCD">
        <w:rPr>
          <w:rFonts w:asciiTheme="minorHAnsi" w:hAnsiTheme="minorHAnsi" w:cstheme="minorHAnsi"/>
          <w:i/>
        </w:rPr>
        <w:t>Note that standards from different clusters may sometimes be closely related, because mathematics is a connected subject.)</w:t>
      </w:r>
    </w:p>
    <w:p w:rsidR="00C5330B" w:rsidRDefault="00C5330B" w:rsidP="00C5330B">
      <w:pPr>
        <w:pStyle w:val="NormalWeb"/>
        <w:rPr>
          <w:rFonts w:asciiTheme="minorHAnsi" w:hAnsiTheme="minorHAnsi" w:cstheme="minorHAnsi"/>
        </w:rPr>
      </w:pPr>
      <w:r w:rsidRPr="005E4BCD">
        <w:rPr>
          <w:rFonts w:asciiTheme="minorHAnsi" w:hAnsiTheme="minorHAnsi" w:cstheme="minorHAnsi"/>
          <w:b/>
          <w:color w:val="C00000"/>
          <w:u w:val="single"/>
        </w:rPr>
        <w:t xml:space="preserve">Domains </w:t>
      </w:r>
      <w:r w:rsidRPr="005E4BCD">
        <w:rPr>
          <w:rFonts w:asciiTheme="minorHAnsi" w:hAnsiTheme="minorHAnsi" w:cstheme="minorHAnsi"/>
        </w:rPr>
        <w:t>are larger groups of related standards. Standards from different domains may sometimes be closely related.   Unlike the 2003 NCSCOS, these will change throughout K-8</w:t>
      </w:r>
      <w:r>
        <w:rPr>
          <w:rFonts w:asciiTheme="minorHAnsi" w:hAnsiTheme="minorHAnsi" w:cstheme="minorHAnsi"/>
        </w:rPr>
        <w:t>.</w:t>
      </w:r>
    </w:p>
    <w:p w:rsidR="00C5330B" w:rsidRPr="00504484" w:rsidRDefault="00C5330B" w:rsidP="00C5330B">
      <w:pPr>
        <w:pStyle w:val="NormalWeb"/>
        <w:rPr>
          <w:rFonts w:asciiTheme="minorHAnsi" w:hAnsiTheme="minorHAnsi" w:cstheme="minorHAnsi"/>
        </w:rPr>
      </w:pPr>
      <w:r w:rsidRPr="005E4BCD">
        <w:rPr>
          <w:rFonts w:asciiTheme="minorHAnsi" w:hAnsiTheme="minorHAnsi" w:cstheme="minorHAnsi"/>
          <w:noProof/>
        </w:rPr>
        <w:lastRenderedPageBreak/>
        <w:drawing>
          <wp:inline distT="0" distB="0" distL="0" distR="0">
            <wp:extent cx="5943600" cy="3268980"/>
            <wp:effectExtent l="19050" t="0" r="0" b="0"/>
            <wp:docPr id="12" name="Picture 1" descr="Screen shot 2010-10-14 at 9.53.30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67" name="Picture 6" descr="Screen shot 2010-10-14 at 9.53.30 AM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30B" w:rsidRDefault="00C5330B" w:rsidP="00C5330B">
      <w:pPr>
        <w:pStyle w:val="NormalWeb"/>
        <w:jc w:val="center"/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</w:pPr>
      <w:r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  <w:t>Course Structure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5330B" w:rsidRPr="001E7BCF" w:rsidTr="003D0A87">
        <w:tc>
          <w:tcPr>
            <w:tcW w:w="4788" w:type="dxa"/>
          </w:tcPr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E7BCF">
              <w:rPr>
                <w:rFonts w:asciiTheme="minorHAnsi" w:hAnsiTheme="minorHAnsi" w:cstheme="minorHAnsi"/>
                <w:b/>
                <w:sz w:val="28"/>
                <w:szCs w:val="28"/>
              </w:rPr>
              <w:t>K-8</w:t>
            </w:r>
          </w:p>
        </w:tc>
        <w:tc>
          <w:tcPr>
            <w:tcW w:w="4788" w:type="dxa"/>
          </w:tcPr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High School</w:t>
            </w:r>
          </w:p>
        </w:tc>
      </w:tr>
      <w:tr w:rsidR="00C5330B" w:rsidRPr="001E7BCF" w:rsidTr="003D0A87">
        <w:tc>
          <w:tcPr>
            <w:tcW w:w="4788" w:type="dxa"/>
          </w:tcPr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Set up by Grade Level</w:t>
            </w:r>
          </w:p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 all Domains are present in each grade level</w:t>
            </w:r>
          </w:p>
        </w:tc>
        <w:tc>
          <w:tcPr>
            <w:tcW w:w="4788" w:type="dxa"/>
          </w:tcPr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E7BCF">
              <w:rPr>
                <w:rFonts w:asciiTheme="minorHAnsi" w:hAnsiTheme="minorHAnsi" w:cstheme="minorHAnsi"/>
                <w:sz w:val="28"/>
                <w:szCs w:val="28"/>
              </w:rPr>
              <w:t>Set up by Domain</w:t>
            </w: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E7BCF">
              <w:rPr>
                <w:rFonts w:asciiTheme="minorHAnsi" w:hAnsiTheme="minorHAnsi" w:cstheme="minorHAnsi"/>
                <w:sz w:val="28"/>
                <w:szCs w:val="28"/>
              </w:rPr>
              <w:t>Each Course will pull from the various Domains</w:t>
            </w:r>
          </w:p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NCDPI has released Course I and is working on Course IV</w:t>
            </w:r>
          </w:p>
        </w:tc>
      </w:tr>
    </w:tbl>
    <w:p w:rsidR="00C5330B" w:rsidRPr="008D5A6C" w:rsidRDefault="00C5330B" w:rsidP="00C5330B">
      <w:pPr>
        <w:pStyle w:val="NormalWeb"/>
        <w:rPr>
          <w:rFonts w:asciiTheme="minorHAnsi" w:hAnsiTheme="minorHAnsi" w:cstheme="minorHAnsi"/>
          <w:b/>
          <w:color w:val="C00000"/>
          <w:sz w:val="16"/>
          <w:szCs w:val="16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5330B" w:rsidTr="003D0A87">
        <w:tc>
          <w:tcPr>
            <w:tcW w:w="9576" w:type="dxa"/>
          </w:tcPr>
          <w:p w:rsidR="00C5330B" w:rsidRPr="001E7BCF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color w:val="C00000"/>
                <w:sz w:val="32"/>
                <w:szCs w:val="32"/>
                <w:u w:val="single"/>
              </w:rPr>
            </w:pPr>
            <w:r w:rsidRPr="001E7BCF">
              <w:rPr>
                <w:rFonts w:asciiTheme="minorHAnsi" w:hAnsiTheme="minorHAnsi" w:cstheme="minorHAnsi"/>
                <w:b/>
                <w:color w:val="C00000"/>
                <w:sz w:val="32"/>
                <w:szCs w:val="32"/>
                <w:u w:val="single"/>
              </w:rPr>
              <w:t>Notes</w:t>
            </w:r>
          </w:p>
        </w:tc>
      </w:tr>
      <w:tr w:rsidR="00C5330B" w:rsidTr="003D0A87">
        <w:tc>
          <w:tcPr>
            <w:tcW w:w="9576" w:type="dxa"/>
          </w:tcPr>
          <w:p w:rsidR="00C5330B" w:rsidRDefault="00C5330B" w:rsidP="003D0A87">
            <w:pPr>
              <w:pStyle w:val="NormalWeb"/>
              <w:rPr>
                <w:rFonts w:asciiTheme="minorHAnsi" w:hAnsiTheme="minorHAnsi" w:cstheme="minorHAnsi"/>
                <w:b/>
                <w:color w:val="C00000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rPr>
                <w:rFonts w:asciiTheme="minorHAnsi" w:hAnsiTheme="minorHAnsi" w:cstheme="minorHAnsi"/>
                <w:b/>
                <w:color w:val="C00000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color w:val="C00000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color w:val="C00000"/>
                <w:sz w:val="40"/>
                <w:szCs w:val="40"/>
                <w:u w:val="single"/>
              </w:rPr>
            </w:pPr>
          </w:p>
        </w:tc>
      </w:tr>
    </w:tbl>
    <w:p w:rsidR="00C5330B" w:rsidRPr="00C06E23" w:rsidRDefault="00C5330B" w:rsidP="00C5330B">
      <w:pPr>
        <w:pStyle w:val="NormalWeb"/>
        <w:contextualSpacing/>
        <w:jc w:val="center"/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</w:pPr>
      <w:r w:rsidRPr="00C06E23"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  <w:lastRenderedPageBreak/>
        <w:t>Talking Points for Coaching Math Teachers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tasks are you assigning that build student understanding?</w:t>
      </w:r>
    </w:p>
    <w:p w:rsidR="00C5330B" w:rsidRPr="001E7BCF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 w:rsidRPr="001E7BCF">
        <w:rPr>
          <w:rFonts w:asciiTheme="minorHAnsi" w:hAnsiTheme="minorHAnsi" w:cstheme="minorHAnsi"/>
        </w:rPr>
        <w:t>How do you provide students opportunities to engage in patient problem solving?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what ways do students construct and share arguments in your classroom?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what ways do students defend their arguments?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opportunities do students have to challenge arguments?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opportunities do students have to model for their peers?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do students explore new concepts in your classroom?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are you using media to support student learning opportunities?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support do you need to be prepared for implementation of the new standards?</w:t>
      </w:r>
    </w:p>
    <w:p w:rsidR="00C5330B" w:rsidRDefault="00C5330B" w:rsidP="00C5330B">
      <w:pPr>
        <w:pStyle w:val="NormalWeb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will student engagement differ as a result of the implementation of the new standards?</w:t>
      </w:r>
    </w:p>
    <w:p w:rsidR="00C5330B" w:rsidRPr="00594B75" w:rsidRDefault="00C5330B" w:rsidP="00C5330B">
      <w:pPr>
        <w:pStyle w:val="NormalWeb"/>
        <w:ind w:left="144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insideV w:val="none" w:sz="0" w:space="0" w:color="auto"/>
        </w:tblBorders>
        <w:tblLook w:val="04A0"/>
      </w:tblPr>
      <w:tblGrid>
        <w:gridCol w:w="3348"/>
        <w:gridCol w:w="6228"/>
      </w:tblGrid>
      <w:tr w:rsidR="00C5330B" w:rsidTr="003D0A87">
        <w:tc>
          <w:tcPr>
            <w:tcW w:w="3348" w:type="dxa"/>
          </w:tcPr>
          <w:p w:rsidR="00C5330B" w:rsidRDefault="00C5330B" w:rsidP="003D0A87">
            <w:pPr>
              <w:pStyle w:val="NormalWeb"/>
            </w:pPr>
            <w:r>
              <w:rPr>
                <w:noProof/>
              </w:rPr>
              <w:drawing>
                <wp:inline distT="0" distB="0" distL="0" distR="0">
                  <wp:extent cx="1898650" cy="1451909"/>
                  <wp:effectExtent l="19050" t="0" r="6350" b="0"/>
                  <wp:docPr id="18" name="Picture 163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0" cy="14519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</w:tcPr>
          <w:p w:rsidR="00C5330B" w:rsidRPr="005E4BCD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36"/>
              </w:rPr>
              <w:t>Math Resources</w:t>
            </w:r>
          </w:p>
          <w:p w:rsidR="00C5330B" w:rsidRPr="001E7BCF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hyperlink r:id="rId13" w:history="1">
              <w:r w:rsidRPr="001E7BCF">
                <w:rPr>
                  <w:rStyle w:val="Hyperlink"/>
                  <w:rFonts w:asciiTheme="minorHAnsi" w:hAnsiTheme="minorHAnsi" w:cstheme="minorHAnsi"/>
                  <w:b/>
                  <w:sz w:val="28"/>
                  <w:szCs w:val="28"/>
                </w:rPr>
                <w:t>www.ncdpi.wikispaces.net</w:t>
              </w:r>
            </w:hyperlink>
            <w:r w:rsidRPr="001E7BCF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</w:t>
            </w:r>
          </w:p>
          <w:p w:rsidR="00C5330B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hyperlink r:id="rId14" w:history="1">
              <w:r w:rsidRPr="001E7BCF">
                <w:rPr>
                  <w:rStyle w:val="Hyperlink"/>
                  <w:rFonts w:asciiTheme="minorHAnsi" w:hAnsiTheme="minorHAnsi" w:cstheme="minorHAnsi"/>
                  <w:b/>
                  <w:sz w:val="28"/>
                  <w:szCs w:val="28"/>
                </w:rPr>
                <w:t>http://math.ncwiseowl.org</w:t>
              </w:r>
            </w:hyperlink>
            <w:r w:rsidRPr="001E7BCF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</w:t>
            </w:r>
          </w:p>
          <w:p w:rsidR="00C5330B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hyperlink r:id="rId15" w:history="1">
              <w:r w:rsidRPr="002422C6">
                <w:rPr>
                  <w:rStyle w:val="Hyperlink"/>
                  <w:rFonts w:asciiTheme="minorHAnsi" w:hAnsiTheme="minorHAnsi" w:cstheme="minorHAnsi"/>
                  <w:b/>
                  <w:sz w:val="28"/>
                  <w:szCs w:val="28"/>
                </w:rPr>
                <w:t>www.corestandards.org</w:t>
              </w:r>
            </w:hyperlink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 </w:t>
            </w:r>
          </w:p>
          <w:p w:rsidR="00C5330B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hyperlink r:id="rId16" w:history="1">
              <w:r w:rsidRPr="002422C6">
                <w:rPr>
                  <w:rStyle w:val="Hyperlink"/>
                  <w:rFonts w:asciiTheme="minorHAnsi" w:hAnsiTheme="minorHAnsi" w:cstheme="minorHAnsi"/>
                  <w:b/>
                  <w:sz w:val="28"/>
                  <w:szCs w:val="28"/>
                </w:rPr>
                <w:t>http://www.k12.wa.us/SMARTER/default.aspx</w:t>
              </w:r>
            </w:hyperlink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</w:t>
            </w:r>
          </w:p>
          <w:p w:rsidR="00C5330B" w:rsidRPr="001E7BCF" w:rsidRDefault="00C5330B" w:rsidP="003D0A87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:rsidR="00C5330B" w:rsidRPr="005E4BCD" w:rsidRDefault="00C5330B" w:rsidP="003D0A87">
            <w:pPr>
              <w:pStyle w:val="NormalWeb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How can you use these sites to support teachers?</w:t>
            </w: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rPr>
                <w:rFonts w:asciiTheme="minorHAnsi" w:hAnsiTheme="minorHAnsi" w:cstheme="minorHAnsi"/>
                <w:sz w:val="40"/>
                <w:szCs w:val="40"/>
                <w:u w:val="single"/>
              </w:rPr>
            </w:pPr>
          </w:p>
          <w:p w:rsidR="00C5330B" w:rsidRDefault="00C5330B" w:rsidP="003D0A87">
            <w:pPr>
              <w:pStyle w:val="NormalWeb"/>
              <w:jc w:val="center"/>
              <w:rPr>
                <w:rFonts w:asciiTheme="minorHAnsi" w:hAnsiTheme="minorHAnsi" w:cstheme="minorHAnsi"/>
                <w:sz w:val="40"/>
                <w:szCs w:val="40"/>
                <w:u w:val="single"/>
              </w:rPr>
            </w:pPr>
          </w:p>
          <w:p w:rsidR="00C5330B" w:rsidRPr="005E4BCD" w:rsidRDefault="00C5330B" w:rsidP="003D0A87">
            <w:pPr>
              <w:pStyle w:val="NormalWeb"/>
              <w:rPr>
                <w:rFonts w:asciiTheme="minorHAnsi" w:hAnsiTheme="minorHAnsi" w:cstheme="minorHAnsi"/>
                <w:sz w:val="40"/>
                <w:szCs w:val="40"/>
                <w:u w:val="single"/>
              </w:rPr>
            </w:pPr>
          </w:p>
        </w:tc>
      </w:tr>
    </w:tbl>
    <w:p w:rsidR="00A564F6" w:rsidRDefault="00C5330B"/>
    <w:sectPr w:rsidR="00A564F6" w:rsidSect="00846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DC9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5F58A5"/>
    <w:multiLevelType w:val="hybridMultilevel"/>
    <w:tmpl w:val="0F1C1576"/>
    <w:lvl w:ilvl="0" w:tplc="B0B46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0EB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00E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27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7CD6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A8E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CE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D67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30B"/>
    <w:rsid w:val="0026312C"/>
    <w:rsid w:val="007B5AA1"/>
    <w:rsid w:val="0084684A"/>
    <w:rsid w:val="00C5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330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yperlink" Target="http://www.ncdpi.wikispaces.ne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12.wa.us/SMARTER/default.aspx" TargetMode="Externa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hyperlink" Target="http://www.ncdpi.wikispaces.net" TargetMode="External"/><Relationship Id="rId5" Type="http://schemas.openxmlformats.org/officeDocument/2006/relationships/diagramData" Target="diagrams/data1.xml"/><Relationship Id="rId15" Type="http://schemas.openxmlformats.org/officeDocument/2006/relationships/hyperlink" Target="http://www.corestandards.org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hyperlink" Target="http://math.ncwiseowl.or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B0A225-BB1F-423D-BDFC-0B9D05929ACB}" type="doc">
      <dgm:prSet loTypeId="urn:microsoft.com/office/officeart/2005/8/layout/pyramid3" loCatId="pyramid" qsTypeId="urn:microsoft.com/office/officeart/2005/8/quickstyle/simple1" qsCatId="simple" csTypeId="urn:microsoft.com/office/officeart/2005/8/colors/accent1_2" csCatId="accent1" phldr="1"/>
      <dgm:spPr/>
    </dgm:pt>
    <dgm:pt modelId="{9B399F61-1A64-415B-98F2-01CBE9AFF2E4}">
      <dgm:prSet phldrT="[Text]" custT="1"/>
      <dgm:spPr/>
      <dgm:t>
        <a:bodyPr/>
        <a:lstStyle/>
        <a:p>
          <a:r>
            <a:rPr lang="en-US" sz="2000" b="1"/>
            <a:t>Domains</a:t>
          </a:r>
        </a:p>
      </dgm:t>
    </dgm:pt>
    <dgm:pt modelId="{06B30610-8003-4487-B461-2AE66A1C714D}" type="parTrans" cxnId="{BE5DFCE4-A8A8-4C78-82D0-FD53D568CD3F}">
      <dgm:prSet/>
      <dgm:spPr/>
      <dgm:t>
        <a:bodyPr/>
        <a:lstStyle/>
        <a:p>
          <a:endParaRPr lang="en-US"/>
        </a:p>
      </dgm:t>
    </dgm:pt>
    <dgm:pt modelId="{2DD38D02-4566-4827-96BA-6797C9E87BC5}" type="sibTrans" cxnId="{BE5DFCE4-A8A8-4C78-82D0-FD53D568CD3F}">
      <dgm:prSet/>
      <dgm:spPr/>
      <dgm:t>
        <a:bodyPr/>
        <a:lstStyle/>
        <a:p>
          <a:endParaRPr lang="en-US"/>
        </a:p>
      </dgm:t>
    </dgm:pt>
    <dgm:pt modelId="{04EE3113-63E2-45E0-85CC-57B7B9F4F4B7}">
      <dgm:prSet phldrT="[Text]" custT="1"/>
      <dgm:spPr/>
      <dgm:t>
        <a:bodyPr/>
        <a:lstStyle/>
        <a:p>
          <a:r>
            <a:rPr lang="en-US" sz="2000" b="1"/>
            <a:t>Clusters</a:t>
          </a:r>
        </a:p>
      </dgm:t>
    </dgm:pt>
    <dgm:pt modelId="{3F0DDAB1-06E3-46FB-86F7-1300E2900219}" type="parTrans" cxnId="{8E4725DD-C5CB-492A-B0D9-C72E7ECD1860}">
      <dgm:prSet/>
      <dgm:spPr/>
      <dgm:t>
        <a:bodyPr/>
        <a:lstStyle/>
        <a:p>
          <a:endParaRPr lang="en-US"/>
        </a:p>
      </dgm:t>
    </dgm:pt>
    <dgm:pt modelId="{F636EF81-838F-44C0-A09F-CCA859F26E59}" type="sibTrans" cxnId="{8E4725DD-C5CB-492A-B0D9-C72E7ECD1860}">
      <dgm:prSet/>
      <dgm:spPr/>
      <dgm:t>
        <a:bodyPr/>
        <a:lstStyle/>
        <a:p>
          <a:endParaRPr lang="en-US"/>
        </a:p>
      </dgm:t>
    </dgm:pt>
    <dgm:pt modelId="{79E8E152-3B64-4263-9ACE-E4C410E05D3D}">
      <dgm:prSet phldrT="[Text]" custT="1"/>
      <dgm:spPr/>
      <dgm:t>
        <a:bodyPr/>
        <a:lstStyle/>
        <a:p>
          <a:r>
            <a:rPr lang="en-US" sz="2000" b="1"/>
            <a:t>Standards</a:t>
          </a:r>
        </a:p>
      </dgm:t>
    </dgm:pt>
    <dgm:pt modelId="{1711EB8A-2009-4BC5-A32D-64E23B39336D}" type="parTrans" cxnId="{20773DC8-95AE-4A14-BE18-049CA4363FC5}">
      <dgm:prSet/>
      <dgm:spPr/>
      <dgm:t>
        <a:bodyPr/>
        <a:lstStyle/>
        <a:p>
          <a:endParaRPr lang="en-US"/>
        </a:p>
      </dgm:t>
    </dgm:pt>
    <dgm:pt modelId="{C27F81D6-8A9C-4A87-B1AA-844861801A1B}" type="sibTrans" cxnId="{20773DC8-95AE-4A14-BE18-049CA4363FC5}">
      <dgm:prSet/>
      <dgm:spPr/>
      <dgm:t>
        <a:bodyPr/>
        <a:lstStyle/>
        <a:p>
          <a:endParaRPr lang="en-US"/>
        </a:p>
      </dgm:t>
    </dgm:pt>
    <dgm:pt modelId="{EF5A1906-2747-41D1-869B-126A9A19A7D0}" type="pres">
      <dgm:prSet presAssocID="{D7B0A225-BB1F-423D-BDFC-0B9D05929ACB}" presName="Name0" presStyleCnt="0">
        <dgm:presLayoutVars>
          <dgm:dir/>
          <dgm:animLvl val="lvl"/>
          <dgm:resizeHandles val="exact"/>
        </dgm:presLayoutVars>
      </dgm:prSet>
      <dgm:spPr/>
    </dgm:pt>
    <dgm:pt modelId="{72B6A33B-033D-47A8-8A76-1635D6229DFA}" type="pres">
      <dgm:prSet presAssocID="{9B399F61-1A64-415B-98F2-01CBE9AFF2E4}" presName="Name8" presStyleCnt="0"/>
      <dgm:spPr/>
    </dgm:pt>
    <dgm:pt modelId="{26EC4D91-92D0-44B6-B5EA-F713E0FE4B4F}" type="pres">
      <dgm:prSet presAssocID="{9B399F61-1A64-415B-98F2-01CBE9AFF2E4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34F966-19A8-49EB-85F4-E0F6B4D8021D}" type="pres">
      <dgm:prSet presAssocID="{9B399F61-1A64-415B-98F2-01CBE9AFF2E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81F18A-4DF7-4535-9072-3F902D7A7FDD}" type="pres">
      <dgm:prSet presAssocID="{04EE3113-63E2-45E0-85CC-57B7B9F4F4B7}" presName="Name8" presStyleCnt="0"/>
      <dgm:spPr/>
    </dgm:pt>
    <dgm:pt modelId="{598142A3-9884-41C1-A5E3-BC4B0D2D8471}" type="pres">
      <dgm:prSet presAssocID="{04EE3113-63E2-45E0-85CC-57B7B9F4F4B7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051409-58E3-48D7-A00C-C62260506C4C}" type="pres">
      <dgm:prSet presAssocID="{04EE3113-63E2-45E0-85CC-57B7B9F4F4B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689D15-72F7-4D74-8461-D5CD793F749B}" type="pres">
      <dgm:prSet presAssocID="{79E8E152-3B64-4263-9ACE-E4C410E05D3D}" presName="Name8" presStyleCnt="0"/>
      <dgm:spPr/>
    </dgm:pt>
    <dgm:pt modelId="{B03D083F-8AD4-4011-8C51-E9812B943C24}" type="pres">
      <dgm:prSet presAssocID="{79E8E152-3B64-4263-9ACE-E4C410E05D3D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10B82A-75F3-4E27-94A6-625D713752CC}" type="pres">
      <dgm:prSet presAssocID="{79E8E152-3B64-4263-9ACE-E4C410E05D3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F514BB8-96B2-4738-B6DC-7BBF729B7F8F}" type="presOf" srcId="{04EE3113-63E2-45E0-85CC-57B7B9F4F4B7}" destId="{5C051409-58E3-48D7-A00C-C62260506C4C}" srcOrd="1" destOrd="0" presId="urn:microsoft.com/office/officeart/2005/8/layout/pyramid3"/>
    <dgm:cxn modelId="{BE5DFCE4-A8A8-4C78-82D0-FD53D568CD3F}" srcId="{D7B0A225-BB1F-423D-BDFC-0B9D05929ACB}" destId="{9B399F61-1A64-415B-98F2-01CBE9AFF2E4}" srcOrd="0" destOrd="0" parTransId="{06B30610-8003-4487-B461-2AE66A1C714D}" sibTransId="{2DD38D02-4566-4827-96BA-6797C9E87BC5}"/>
    <dgm:cxn modelId="{52DFDD2D-35A7-484B-B4C4-7DC6C05DE330}" type="presOf" srcId="{79E8E152-3B64-4263-9ACE-E4C410E05D3D}" destId="{B03D083F-8AD4-4011-8C51-E9812B943C24}" srcOrd="0" destOrd="0" presId="urn:microsoft.com/office/officeart/2005/8/layout/pyramid3"/>
    <dgm:cxn modelId="{ECFED749-6ACE-4DDC-887E-727B0A0F890D}" type="presOf" srcId="{04EE3113-63E2-45E0-85CC-57B7B9F4F4B7}" destId="{598142A3-9884-41C1-A5E3-BC4B0D2D8471}" srcOrd="0" destOrd="0" presId="urn:microsoft.com/office/officeart/2005/8/layout/pyramid3"/>
    <dgm:cxn modelId="{5D0C487C-A7B1-4447-82C0-B604E0B3F76C}" type="presOf" srcId="{79E8E152-3B64-4263-9ACE-E4C410E05D3D}" destId="{4510B82A-75F3-4E27-94A6-625D713752CC}" srcOrd="1" destOrd="0" presId="urn:microsoft.com/office/officeart/2005/8/layout/pyramid3"/>
    <dgm:cxn modelId="{20773DC8-95AE-4A14-BE18-049CA4363FC5}" srcId="{D7B0A225-BB1F-423D-BDFC-0B9D05929ACB}" destId="{79E8E152-3B64-4263-9ACE-E4C410E05D3D}" srcOrd="2" destOrd="0" parTransId="{1711EB8A-2009-4BC5-A32D-64E23B39336D}" sibTransId="{C27F81D6-8A9C-4A87-B1AA-844861801A1B}"/>
    <dgm:cxn modelId="{999BAECB-AE00-4546-8041-0EC58AD4BFDD}" type="presOf" srcId="{9B399F61-1A64-415B-98F2-01CBE9AFF2E4}" destId="{26EC4D91-92D0-44B6-B5EA-F713E0FE4B4F}" srcOrd="0" destOrd="0" presId="urn:microsoft.com/office/officeart/2005/8/layout/pyramid3"/>
    <dgm:cxn modelId="{8E4725DD-C5CB-492A-B0D9-C72E7ECD1860}" srcId="{D7B0A225-BB1F-423D-BDFC-0B9D05929ACB}" destId="{04EE3113-63E2-45E0-85CC-57B7B9F4F4B7}" srcOrd="1" destOrd="0" parTransId="{3F0DDAB1-06E3-46FB-86F7-1300E2900219}" sibTransId="{F636EF81-838F-44C0-A09F-CCA859F26E59}"/>
    <dgm:cxn modelId="{E8FA42D2-01BD-40C9-BEDB-ABB4DFB6AF3C}" type="presOf" srcId="{D7B0A225-BB1F-423D-BDFC-0B9D05929ACB}" destId="{EF5A1906-2747-41D1-869B-126A9A19A7D0}" srcOrd="0" destOrd="0" presId="urn:microsoft.com/office/officeart/2005/8/layout/pyramid3"/>
    <dgm:cxn modelId="{21D1D3FA-9A65-46FE-907D-20862B91D07C}" type="presOf" srcId="{9B399F61-1A64-415B-98F2-01CBE9AFF2E4}" destId="{9C34F966-19A8-49EB-85F4-E0F6B4D8021D}" srcOrd="1" destOrd="0" presId="urn:microsoft.com/office/officeart/2005/8/layout/pyramid3"/>
    <dgm:cxn modelId="{172C880B-5330-4B7F-B3BF-752C4D978A7B}" type="presParOf" srcId="{EF5A1906-2747-41D1-869B-126A9A19A7D0}" destId="{72B6A33B-033D-47A8-8A76-1635D6229DFA}" srcOrd="0" destOrd="0" presId="urn:microsoft.com/office/officeart/2005/8/layout/pyramid3"/>
    <dgm:cxn modelId="{5ABBCD18-B644-4FA5-A7A1-98F6AA4A152E}" type="presParOf" srcId="{72B6A33B-033D-47A8-8A76-1635D6229DFA}" destId="{26EC4D91-92D0-44B6-B5EA-F713E0FE4B4F}" srcOrd="0" destOrd="0" presId="urn:microsoft.com/office/officeart/2005/8/layout/pyramid3"/>
    <dgm:cxn modelId="{717DE827-33D1-491D-B7F3-AF1018920455}" type="presParOf" srcId="{72B6A33B-033D-47A8-8A76-1635D6229DFA}" destId="{9C34F966-19A8-49EB-85F4-E0F6B4D8021D}" srcOrd="1" destOrd="0" presId="urn:microsoft.com/office/officeart/2005/8/layout/pyramid3"/>
    <dgm:cxn modelId="{E023E769-1703-47EC-A989-07EBF03D0538}" type="presParOf" srcId="{EF5A1906-2747-41D1-869B-126A9A19A7D0}" destId="{2C81F18A-4DF7-4535-9072-3F902D7A7FDD}" srcOrd="1" destOrd="0" presId="urn:microsoft.com/office/officeart/2005/8/layout/pyramid3"/>
    <dgm:cxn modelId="{E714D020-046A-47F4-89DA-9C62B353773B}" type="presParOf" srcId="{2C81F18A-4DF7-4535-9072-3F902D7A7FDD}" destId="{598142A3-9884-41C1-A5E3-BC4B0D2D8471}" srcOrd="0" destOrd="0" presId="urn:microsoft.com/office/officeart/2005/8/layout/pyramid3"/>
    <dgm:cxn modelId="{E494499B-470F-4AEF-8E52-02B4AB4BCF41}" type="presParOf" srcId="{2C81F18A-4DF7-4535-9072-3F902D7A7FDD}" destId="{5C051409-58E3-48D7-A00C-C62260506C4C}" srcOrd="1" destOrd="0" presId="urn:microsoft.com/office/officeart/2005/8/layout/pyramid3"/>
    <dgm:cxn modelId="{1346DED7-DE67-40EA-A72C-38EF243996CB}" type="presParOf" srcId="{EF5A1906-2747-41D1-869B-126A9A19A7D0}" destId="{31689D15-72F7-4D74-8461-D5CD793F749B}" srcOrd="2" destOrd="0" presId="urn:microsoft.com/office/officeart/2005/8/layout/pyramid3"/>
    <dgm:cxn modelId="{CA2138E2-3E47-4C03-9C33-15C68C28C21A}" type="presParOf" srcId="{31689D15-72F7-4D74-8461-D5CD793F749B}" destId="{B03D083F-8AD4-4011-8C51-E9812B943C24}" srcOrd="0" destOrd="0" presId="urn:microsoft.com/office/officeart/2005/8/layout/pyramid3"/>
    <dgm:cxn modelId="{21F2CE02-8CB0-4378-93AD-D2AAFDFD5130}" type="presParOf" srcId="{31689D15-72F7-4D74-8461-D5CD793F749B}" destId="{4510B82A-75F3-4E27-94A6-625D713752CC}" srcOrd="1" destOrd="0" presId="urn:microsoft.com/office/officeart/2005/8/layout/pyramid3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6EC4D91-92D0-44B6-B5EA-F713E0FE4B4F}">
      <dsp:nvSpPr>
        <dsp:cNvPr id="0" name=""/>
        <dsp:cNvSpPr/>
      </dsp:nvSpPr>
      <dsp:spPr>
        <a:xfrm rot="10800000">
          <a:off x="0" y="0"/>
          <a:ext cx="5486400" cy="787399"/>
        </a:xfrm>
        <a:prstGeom prst="trapezoid">
          <a:avLst>
            <a:gd name="adj" fmla="val 116129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Domains</a:t>
          </a:r>
        </a:p>
      </dsp:txBody>
      <dsp:txXfrm>
        <a:off x="960119" y="0"/>
        <a:ext cx="3566160" cy="787399"/>
      </dsp:txXfrm>
    </dsp:sp>
    <dsp:sp modelId="{598142A3-9884-41C1-A5E3-BC4B0D2D8471}">
      <dsp:nvSpPr>
        <dsp:cNvPr id="0" name=""/>
        <dsp:cNvSpPr/>
      </dsp:nvSpPr>
      <dsp:spPr>
        <a:xfrm rot="10800000">
          <a:off x="914400" y="787399"/>
          <a:ext cx="3657600" cy="787399"/>
        </a:xfrm>
        <a:prstGeom prst="trapezoid">
          <a:avLst>
            <a:gd name="adj" fmla="val 116129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Clusters</a:t>
          </a:r>
        </a:p>
      </dsp:txBody>
      <dsp:txXfrm>
        <a:off x="1554480" y="787399"/>
        <a:ext cx="2377440" cy="787399"/>
      </dsp:txXfrm>
    </dsp:sp>
    <dsp:sp modelId="{B03D083F-8AD4-4011-8C51-E9812B943C24}">
      <dsp:nvSpPr>
        <dsp:cNvPr id="0" name=""/>
        <dsp:cNvSpPr/>
      </dsp:nvSpPr>
      <dsp:spPr>
        <a:xfrm rot="10800000">
          <a:off x="1828800" y="1574799"/>
          <a:ext cx="1828800" cy="787399"/>
        </a:xfrm>
        <a:prstGeom prst="trapezoid">
          <a:avLst>
            <a:gd name="adj" fmla="val 116129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Standards</a:t>
          </a:r>
        </a:p>
      </dsp:txBody>
      <dsp:txXfrm>
        <a:off x="1828800" y="1574799"/>
        <a:ext cx="1828800" cy="7873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2106</Characters>
  <Application>Microsoft Office Word</Application>
  <DocSecurity>0</DocSecurity>
  <Lines>17</Lines>
  <Paragraphs>4</Paragraphs>
  <ScaleCrop>false</ScaleCrop>
  <Company>NCDPI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1</cp:revision>
  <dcterms:created xsi:type="dcterms:W3CDTF">2011-09-29T18:47:00Z</dcterms:created>
  <dcterms:modified xsi:type="dcterms:W3CDTF">2011-09-29T18:48:00Z</dcterms:modified>
</cp:coreProperties>
</file>